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4C" w:rsidRPr="004859D1" w:rsidRDefault="00350E4C" w:rsidP="00350E4C">
      <w:pPr>
        <w:spacing w:after="276"/>
        <w:ind w:left="284"/>
        <w:jc w:val="center"/>
        <w:rPr>
          <w:rFonts w:cs="Arial"/>
          <w:szCs w:val="24"/>
        </w:rPr>
      </w:pPr>
      <w:bookmarkStart w:id="0" w:name="_GoBack"/>
      <w:bookmarkEnd w:id="0"/>
      <w:r w:rsidRPr="004859D1">
        <w:rPr>
          <w:rFonts w:eastAsia="Arial" w:cs="Arial"/>
          <w:b/>
          <w:szCs w:val="24"/>
        </w:rPr>
        <w:t>2019/20 Proposed Criteria to Determine Highway Maintenance and Transport New Starts Programmes</w:t>
      </w:r>
    </w:p>
    <w:p w:rsidR="00350E4C" w:rsidRPr="004859D1" w:rsidRDefault="00350E4C" w:rsidP="00350E4C">
      <w:pPr>
        <w:ind w:left="-5" w:hanging="704"/>
        <w:rPr>
          <w:rFonts w:eastAsia="Arial" w:cs="Arial"/>
          <w:b/>
          <w:szCs w:val="24"/>
        </w:rPr>
      </w:pPr>
      <w:r w:rsidRPr="004859D1">
        <w:rPr>
          <w:rFonts w:eastAsia="Arial" w:cs="Arial"/>
          <w:b/>
          <w:szCs w:val="24"/>
        </w:rPr>
        <w:t>Highway Maintenance</w:t>
      </w:r>
    </w:p>
    <w:p w:rsidR="00350E4C" w:rsidRPr="004859D1" w:rsidRDefault="00350E4C" w:rsidP="00350E4C">
      <w:pPr>
        <w:ind w:left="-709"/>
        <w:rPr>
          <w:rFonts w:eastAsia="Arial" w:cs="Arial"/>
          <w:szCs w:val="24"/>
        </w:rPr>
      </w:pPr>
      <w:r w:rsidRPr="004859D1">
        <w:rPr>
          <w:rFonts w:eastAsia="Arial" w:cs="Arial"/>
          <w:szCs w:val="24"/>
        </w:rPr>
        <w:t>The proposed criteria for determining the countywide allocations and the projects to be included in the 2019/20 Highways Maintenance capital programme is set out below:</w:t>
      </w:r>
    </w:p>
    <w:p w:rsidR="00350E4C" w:rsidRPr="004859D1" w:rsidRDefault="00350E4C" w:rsidP="00350E4C">
      <w:pPr>
        <w:ind w:left="-5" w:hanging="10"/>
        <w:rPr>
          <w:rFonts w:cs="Arial"/>
          <w:szCs w:val="24"/>
        </w:rPr>
      </w:pPr>
    </w:p>
    <w:tbl>
      <w:tblPr>
        <w:tblW w:w="10241" w:type="dxa"/>
        <w:tblInd w:w="-601" w:type="dxa"/>
        <w:tblCellMar>
          <w:top w:w="51" w:type="dxa"/>
          <w:bottom w:w="5" w:type="dxa"/>
          <w:right w:w="54" w:type="dxa"/>
        </w:tblCellMar>
        <w:tblLook w:val="04A0" w:firstRow="1" w:lastRow="0" w:firstColumn="1" w:lastColumn="0" w:noHBand="0" w:noVBand="1"/>
      </w:tblPr>
      <w:tblGrid>
        <w:gridCol w:w="1985"/>
        <w:gridCol w:w="8256"/>
      </w:tblGrid>
      <w:tr w:rsidR="00350E4C" w:rsidRPr="004859D1" w:rsidTr="0035481F">
        <w:trPr>
          <w:trHeight w:val="263"/>
          <w:tblHeader/>
        </w:trPr>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350E4C" w:rsidRPr="004859D1" w:rsidRDefault="00350E4C" w:rsidP="0035481F">
            <w:pPr>
              <w:ind w:right="54"/>
              <w:jc w:val="center"/>
              <w:rPr>
                <w:rFonts w:cs="Arial"/>
                <w:szCs w:val="24"/>
              </w:rPr>
            </w:pPr>
            <w:r w:rsidRPr="004859D1">
              <w:rPr>
                <w:rFonts w:eastAsia="Arial" w:cs="Arial"/>
                <w:b/>
                <w:szCs w:val="24"/>
              </w:rPr>
              <w:t>Asset Class</w:t>
            </w:r>
          </w:p>
        </w:tc>
        <w:tc>
          <w:tcPr>
            <w:tcW w:w="8256" w:type="dxa"/>
            <w:tcBorders>
              <w:top w:val="single" w:sz="4" w:space="0" w:color="000000"/>
              <w:left w:val="single" w:sz="4" w:space="0" w:color="000000"/>
              <w:bottom w:val="single" w:sz="4" w:space="0" w:color="000000"/>
              <w:right w:val="single" w:sz="4" w:space="0" w:color="000000"/>
            </w:tcBorders>
            <w:shd w:val="clear" w:color="auto" w:fill="D9D9D9"/>
          </w:tcPr>
          <w:p w:rsidR="00350E4C" w:rsidRPr="004859D1" w:rsidRDefault="00350E4C" w:rsidP="0035481F">
            <w:pPr>
              <w:jc w:val="center"/>
              <w:rPr>
                <w:rFonts w:cs="Arial"/>
                <w:szCs w:val="24"/>
              </w:rPr>
            </w:pPr>
            <w:r w:rsidRPr="004859D1">
              <w:rPr>
                <w:rFonts w:eastAsia="Arial" w:cs="Arial"/>
                <w:b/>
                <w:szCs w:val="24"/>
              </w:rPr>
              <w:t>2019/20 Proposed Criteria</w:t>
            </w:r>
          </w:p>
        </w:tc>
      </w:tr>
      <w:tr w:rsidR="00350E4C" w:rsidRPr="004859D1" w:rsidTr="0035481F">
        <w:trPr>
          <w:trHeight w:val="2643"/>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54"/>
              <w:jc w:val="center"/>
              <w:rPr>
                <w:rFonts w:cs="Arial"/>
                <w:szCs w:val="24"/>
              </w:rPr>
            </w:pPr>
            <w:r w:rsidRPr="004859D1">
              <w:rPr>
                <w:rFonts w:eastAsia="Arial" w:cs="Arial"/>
                <w:szCs w:val="24"/>
              </w:rPr>
              <w:t>A,B,C Roads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spacing w:after="233"/>
              <w:jc w:val="both"/>
              <w:rPr>
                <w:rFonts w:cs="Arial"/>
                <w:szCs w:val="24"/>
              </w:rPr>
            </w:pPr>
            <w:r w:rsidRPr="004859D1">
              <w:rPr>
                <w:rFonts w:eastAsia="Arial" w:cs="Arial"/>
                <w:szCs w:val="24"/>
              </w:rPr>
              <w:t>Committed level of investment as set out in the TAMP</w:t>
            </w:r>
          </w:p>
          <w:p w:rsidR="00350E4C" w:rsidRPr="004859D1" w:rsidRDefault="00350E4C" w:rsidP="0035481F">
            <w:pPr>
              <w:spacing w:after="253"/>
              <w:ind w:right="13"/>
              <w:jc w:val="both"/>
              <w:rPr>
                <w:rFonts w:cs="Arial"/>
                <w:szCs w:val="24"/>
              </w:rPr>
            </w:pPr>
            <w:r w:rsidRPr="004859D1">
              <w:rPr>
                <w:rFonts w:eastAsia="Arial" w:cs="Arial"/>
                <w:szCs w:val="24"/>
              </w:rPr>
              <w:t>Pre patching, surface dressing and resurfacing determined on a countywide prioritisation based on condition derived from scanner and local parameters which include life expectancy and deterioration modelling.  Also includes the number of defects, claims and complaints received.  Additionally the strategic significance is assessed based upon priority gritting routes and higher risk routes.</w:t>
            </w:r>
          </w:p>
          <w:p w:rsidR="00350E4C" w:rsidRPr="004859D1" w:rsidRDefault="00350E4C" w:rsidP="0035481F">
            <w:pPr>
              <w:ind w:right="1"/>
              <w:jc w:val="both"/>
              <w:rPr>
                <w:rFonts w:cs="Arial"/>
                <w:szCs w:val="24"/>
              </w:rPr>
            </w:pPr>
            <w:r w:rsidRPr="004859D1">
              <w:rPr>
                <w:rFonts w:eastAsia="Arial" w:cs="Arial"/>
                <w:szCs w:val="24"/>
              </w:rPr>
              <w:t xml:space="preserve">Contribution </w:t>
            </w:r>
            <w:r>
              <w:rPr>
                <w:rFonts w:eastAsia="Arial" w:cs="Arial"/>
                <w:szCs w:val="24"/>
              </w:rPr>
              <w:t xml:space="preserve">to </w:t>
            </w:r>
            <w:r w:rsidRPr="004859D1">
              <w:rPr>
                <w:rFonts w:eastAsia="Arial" w:cs="Arial"/>
                <w:szCs w:val="24"/>
              </w:rPr>
              <w:t>core sampling to support the delivery of the 2019/20 capital programme</w:t>
            </w:r>
            <w:r>
              <w:rPr>
                <w:rFonts w:eastAsia="Arial" w:cs="Arial"/>
                <w:szCs w:val="24"/>
              </w:rPr>
              <w:t xml:space="preserve">. </w:t>
            </w:r>
            <w:r w:rsidRPr="004859D1">
              <w:rPr>
                <w:rFonts w:eastAsia="Arial" w:cs="Arial"/>
                <w:szCs w:val="24"/>
              </w:rPr>
              <w:t xml:space="preserve"> </w:t>
            </w:r>
            <w:r>
              <w:rPr>
                <w:rFonts w:eastAsia="Arial" w:cs="Arial"/>
                <w:szCs w:val="24"/>
              </w:rPr>
              <w:t xml:space="preserve"> </w:t>
            </w:r>
          </w:p>
        </w:tc>
      </w:tr>
      <w:tr w:rsidR="00350E4C" w:rsidRPr="004859D1" w:rsidTr="0035481F">
        <w:trPr>
          <w:trHeight w:val="277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54"/>
              <w:jc w:val="center"/>
              <w:rPr>
                <w:rFonts w:cs="Arial"/>
                <w:szCs w:val="24"/>
              </w:rPr>
            </w:pPr>
            <w:r w:rsidRPr="004859D1">
              <w:rPr>
                <w:rFonts w:eastAsia="Arial" w:cs="Arial"/>
                <w:szCs w:val="24"/>
              </w:rPr>
              <w:t xml:space="preserve">Urban </w:t>
            </w:r>
          </w:p>
          <w:p w:rsidR="00350E4C" w:rsidRPr="004859D1" w:rsidRDefault="00350E4C" w:rsidP="0035481F">
            <w:pPr>
              <w:ind w:right="55"/>
              <w:jc w:val="center"/>
              <w:rPr>
                <w:rFonts w:cs="Arial"/>
                <w:szCs w:val="24"/>
              </w:rPr>
            </w:pPr>
            <w:r w:rsidRPr="004859D1">
              <w:rPr>
                <w:rFonts w:eastAsia="Arial" w:cs="Arial"/>
                <w:szCs w:val="24"/>
              </w:rPr>
              <w:t xml:space="preserve">Unclassified </w:t>
            </w:r>
          </w:p>
          <w:p w:rsidR="00350E4C" w:rsidRPr="004859D1" w:rsidRDefault="00350E4C" w:rsidP="0035481F">
            <w:pPr>
              <w:ind w:right="54"/>
              <w:jc w:val="center"/>
              <w:rPr>
                <w:rFonts w:cs="Arial"/>
                <w:szCs w:val="24"/>
              </w:rPr>
            </w:pPr>
            <w:r w:rsidRPr="004859D1">
              <w:rPr>
                <w:rFonts w:eastAsia="Arial" w:cs="Arial"/>
                <w:szCs w:val="24"/>
              </w:rPr>
              <w:t>Roads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spacing w:after="253"/>
              <w:jc w:val="both"/>
              <w:rPr>
                <w:rFonts w:cs="Arial"/>
                <w:szCs w:val="24"/>
              </w:rPr>
            </w:pPr>
            <w:r w:rsidRPr="004859D1">
              <w:rPr>
                <w:rFonts w:eastAsia="Arial" w:cs="Arial"/>
                <w:szCs w:val="24"/>
              </w:rPr>
              <w:t>Pre patching, surface dressing and resurfacing determined on a countywide prioritisation based on condition survey data.</w:t>
            </w:r>
          </w:p>
          <w:p w:rsidR="00350E4C" w:rsidRPr="004859D1" w:rsidRDefault="00350E4C" w:rsidP="0035481F">
            <w:pPr>
              <w:spacing w:after="253"/>
              <w:jc w:val="both"/>
              <w:rPr>
                <w:rFonts w:cs="Arial"/>
                <w:szCs w:val="24"/>
              </w:rPr>
            </w:pPr>
            <w:r w:rsidRPr="004859D1">
              <w:rPr>
                <w:rFonts w:eastAsia="Arial" w:cs="Arial"/>
                <w:szCs w:val="24"/>
              </w:rPr>
              <w:t>Surface dressing schemes have been ranked based on the principles set out in the Transport Asset Management Plan (TAMP).  Carriageway and inlay schemes are ranked on condition (worst first), traffic (type) and use (volume).  Also includes the number of defects, claims and complaints received</w:t>
            </w:r>
          </w:p>
          <w:p w:rsidR="00350E4C" w:rsidRPr="004859D1" w:rsidRDefault="00350E4C" w:rsidP="0035481F">
            <w:pPr>
              <w:ind w:right="1"/>
              <w:jc w:val="both"/>
              <w:rPr>
                <w:rFonts w:cs="Arial"/>
                <w:szCs w:val="24"/>
              </w:rPr>
            </w:pPr>
            <w:r w:rsidRPr="004859D1">
              <w:rPr>
                <w:rFonts w:eastAsia="Arial" w:cs="Arial"/>
                <w:szCs w:val="24"/>
              </w:rPr>
              <w:t>Contribution to core sampling to support the delivery of the 2019/20 capital programme</w:t>
            </w:r>
            <w:r>
              <w:rPr>
                <w:rFonts w:eastAsia="Arial" w:cs="Arial"/>
                <w:szCs w:val="24"/>
              </w:rPr>
              <w:t xml:space="preserve">. </w:t>
            </w:r>
          </w:p>
        </w:tc>
      </w:tr>
      <w:tr w:rsidR="00350E4C" w:rsidRPr="004859D1" w:rsidTr="0035481F">
        <w:trPr>
          <w:trHeight w:val="263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54"/>
              <w:jc w:val="center"/>
              <w:rPr>
                <w:rFonts w:cs="Arial"/>
                <w:szCs w:val="24"/>
              </w:rPr>
            </w:pPr>
            <w:r w:rsidRPr="004859D1">
              <w:rPr>
                <w:rFonts w:eastAsia="Arial" w:cs="Arial"/>
                <w:szCs w:val="24"/>
              </w:rPr>
              <w:t xml:space="preserve">Rural </w:t>
            </w:r>
          </w:p>
          <w:p w:rsidR="00350E4C" w:rsidRPr="004859D1" w:rsidRDefault="00350E4C" w:rsidP="0035481F">
            <w:pPr>
              <w:ind w:right="55"/>
              <w:jc w:val="center"/>
              <w:rPr>
                <w:rFonts w:cs="Arial"/>
                <w:szCs w:val="24"/>
              </w:rPr>
            </w:pPr>
            <w:r w:rsidRPr="004859D1">
              <w:rPr>
                <w:rFonts w:eastAsia="Arial" w:cs="Arial"/>
                <w:szCs w:val="24"/>
              </w:rPr>
              <w:t xml:space="preserve">Unclassified </w:t>
            </w:r>
          </w:p>
          <w:p w:rsidR="00350E4C" w:rsidRPr="004859D1" w:rsidRDefault="00350E4C" w:rsidP="0035481F">
            <w:pPr>
              <w:ind w:right="54"/>
              <w:jc w:val="center"/>
              <w:rPr>
                <w:rFonts w:cs="Arial"/>
                <w:szCs w:val="24"/>
              </w:rPr>
            </w:pPr>
            <w:r w:rsidRPr="004859D1">
              <w:rPr>
                <w:rFonts w:eastAsia="Arial" w:cs="Arial"/>
                <w:szCs w:val="24"/>
              </w:rPr>
              <w:t>Roads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spacing w:after="253"/>
              <w:jc w:val="both"/>
              <w:rPr>
                <w:rFonts w:cs="Arial"/>
                <w:szCs w:val="24"/>
              </w:rPr>
            </w:pPr>
            <w:r w:rsidRPr="004859D1">
              <w:rPr>
                <w:rFonts w:eastAsia="Arial" w:cs="Arial"/>
                <w:szCs w:val="24"/>
              </w:rPr>
              <w:t>Pre patching, surface dressing and resurfacing determined on a countywide prioritisation based on condition survey data.</w:t>
            </w:r>
          </w:p>
          <w:p w:rsidR="00350E4C" w:rsidRPr="004859D1" w:rsidRDefault="00350E4C" w:rsidP="0035481F">
            <w:pPr>
              <w:spacing w:after="253"/>
              <w:jc w:val="both"/>
              <w:rPr>
                <w:rFonts w:cs="Arial"/>
                <w:szCs w:val="24"/>
              </w:rPr>
            </w:pPr>
            <w:r w:rsidRPr="004859D1">
              <w:rPr>
                <w:rFonts w:eastAsia="Arial" w:cs="Arial"/>
                <w:szCs w:val="24"/>
              </w:rPr>
              <w:t>Surface dressing schemes have been ranked based on the principles set out in the TAMP.  Carriageway and inlay schemes are ranked on condition (worst first), traffic (type) and use (volume). Also includes the number of defects, claims and complaints received</w:t>
            </w:r>
          </w:p>
          <w:p w:rsidR="00350E4C" w:rsidRPr="004859D1" w:rsidRDefault="00350E4C" w:rsidP="0035481F">
            <w:pPr>
              <w:ind w:right="1"/>
              <w:jc w:val="both"/>
              <w:rPr>
                <w:rFonts w:cs="Arial"/>
                <w:szCs w:val="24"/>
              </w:rPr>
            </w:pPr>
            <w:r w:rsidRPr="004859D1">
              <w:rPr>
                <w:rFonts w:eastAsia="Arial" w:cs="Arial"/>
                <w:szCs w:val="24"/>
              </w:rPr>
              <w:t>Contribution to core sampling to support the delivery of the 2019/20 capital programme</w:t>
            </w:r>
            <w:r>
              <w:rPr>
                <w:rFonts w:eastAsia="Arial" w:cs="Arial"/>
                <w:szCs w:val="24"/>
              </w:rPr>
              <w:t xml:space="preserve">. </w:t>
            </w:r>
          </w:p>
        </w:tc>
      </w:tr>
      <w:tr w:rsidR="00350E4C" w:rsidRPr="004859D1" w:rsidTr="0035481F">
        <w:trPr>
          <w:trHeight w:val="164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55"/>
              <w:jc w:val="center"/>
              <w:rPr>
                <w:rFonts w:cs="Arial"/>
                <w:szCs w:val="24"/>
              </w:rPr>
            </w:pPr>
            <w:r w:rsidRPr="004859D1">
              <w:rPr>
                <w:rFonts w:eastAsia="Arial" w:cs="Arial"/>
                <w:szCs w:val="24"/>
              </w:rPr>
              <w:t>Footways</w:t>
            </w:r>
          </w:p>
        </w:tc>
        <w:tc>
          <w:tcPr>
            <w:tcW w:w="8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E4C" w:rsidRPr="004859D1" w:rsidRDefault="00350E4C" w:rsidP="0035481F">
            <w:pPr>
              <w:spacing w:after="253"/>
              <w:rPr>
                <w:rFonts w:cs="Arial"/>
                <w:szCs w:val="24"/>
              </w:rPr>
            </w:pPr>
            <w:r w:rsidRPr="004859D1">
              <w:rPr>
                <w:rFonts w:eastAsia="Arial" w:cs="Arial"/>
                <w:szCs w:val="24"/>
              </w:rPr>
              <w:t>A countywide allocation prioritisation based on condition survey data and the number of highway safety defects identified. Also includes the number of defects, claims and complaints received.</w:t>
            </w:r>
          </w:p>
          <w:p w:rsidR="00350E4C" w:rsidRPr="004859D1" w:rsidRDefault="00350E4C" w:rsidP="0035481F">
            <w:pPr>
              <w:ind w:right="1"/>
              <w:rPr>
                <w:rFonts w:cs="Arial"/>
                <w:szCs w:val="24"/>
              </w:rPr>
            </w:pPr>
            <w:r w:rsidRPr="004859D1">
              <w:rPr>
                <w:rFonts w:eastAsia="Arial" w:cs="Arial"/>
                <w:szCs w:val="24"/>
              </w:rPr>
              <w:t>Contribution to core sampling to support the delivery of the 2019/20 capital programme</w:t>
            </w:r>
            <w:r>
              <w:rPr>
                <w:rFonts w:eastAsia="Arial" w:cs="Arial"/>
                <w:szCs w:val="24"/>
              </w:rPr>
              <w:t xml:space="preserve">. </w:t>
            </w:r>
          </w:p>
        </w:tc>
      </w:tr>
      <w:tr w:rsidR="00350E4C" w:rsidRPr="004859D1" w:rsidTr="0035481F">
        <w:tblPrEx>
          <w:tblCellMar>
            <w:bottom w:w="0" w:type="dxa"/>
            <w:right w:w="47" w:type="dxa"/>
          </w:tblCellMar>
        </w:tblPrEx>
        <w:trPr>
          <w:trHeight w:val="682"/>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61"/>
              <w:jc w:val="center"/>
              <w:rPr>
                <w:rFonts w:eastAsia="Arial" w:cs="Arial"/>
                <w:szCs w:val="24"/>
              </w:rPr>
            </w:pPr>
            <w:r w:rsidRPr="004859D1">
              <w:rPr>
                <w:rFonts w:eastAsia="Arial" w:cs="Arial"/>
                <w:szCs w:val="24"/>
              </w:rPr>
              <w:t>Moss Roads</w:t>
            </w:r>
          </w:p>
        </w:tc>
        <w:tc>
          <w:tcPr>
            <w:tcW w:w="8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rPr>
                <w:rFonts w:eastAsia="Arial" w:cs="Arial"/>
                <w:szCs w:val="24"/>
              </w:rPr>
            </w:pPr>
            <w:r w:rsidRPr="004859D1">
              <w:rPr>
                <w:rFonts w:eastAsia="Arial" w:cs="Arial"/>
                <w:szCs w:val="24"/>
              </w:rPr>
              <w:t>A strategy for Moss Roads is under development including a prioritised hierarchy of need which will determine the proposed 2019/20 programme</w:t>
            </w:r>
          </w:p>
        </w:tc>
      </w:tr>
      <w:tr w:rsidR="00350E4C" w:rsidRPr="004859D1" w:rsidTr="0035481F">
        <w:tblPrEx>
          <w:tblCellMar>
            <w:bottom w:w="0" w:type="dxa"/>
            <w:right w:w="47" w:type="dxa"/>
          </w:tblCellMar>
        </w:tblPrEx>
        <w:trPr>
          <w:trHeight w:val="546"/>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61"/>
              <w:jc w:val="center"/>
              <w:rPr>
                <w:rFonts w:cs="Arial"/>
                <w:szCs w:val="24"/>
              </w:rPr>
            </w:pPr>
            <w:r w:rsidRPr="004859D1">
              <w:rPr>
                <w:rFonts w:eastAsia="Arial" w:cs="Arial"/>
                <w:szCs w:val="24"/>
              </w:rPr>
              <w:lastRenderedPageBreak/>
              <w:t>Drainage</w:t>
            </w:r>
          </w:p>
        </w:tc>
        <w:tc>
          <w:tcPr>
            <w:tcW w:w="8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rPr>
                <w:rFonts w:cs="Arial"/>
                <w:szCs w:val="24"/>
              </w:rPr>
            </w:pPr>
            <w:r w:rsidRPr="004859D1">
              <w:rPr>
                <w:rFonts w:eastAsia="Arial" w:cs="Arial"/>
                <w:szCs w:val="24"/>
              </w:rPr>
              <w:t>Countywide prioritisation based on risk of flooding and potential impact.</w:t>
            </w:r>
          </w:p>
        </w:tc>
      </w:tr>
      <w:tr w:rsidR="00350E4C" w:rsidRPr="004859D1" w:rsidTr="0035481F">
        <w:tblPrEx>
          <w:tblCellMar>
            <w:bottom w:w="0" w:type="dxa"/>
            <w:right w:w="47" w:type="dxa"/>
          </w:tblCellMar>
        </w:tblPrEx>
        <w:trPr>
          <w:trHeight w:val="782"/>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jc w:val="center"/>
              <w:rPr>
                <w:rFonts w:cs="Arial"/>
                <w:szCs w:val="24"/>
              </w:rPr>
            </w:pPr>
            <w:r w:rsidRPr="004859D1">
              <w:rPr>
                <w:rFonts w:eastAsia="Arial" w:cs="Arial"/>
                <w:szCs w:val="24"/>
              </w:rPr>
              <w:t>Light Column Replacement</w:t>
            </w:r>
          </w:p>
        </w:tc>
        <w:tc>
          <w:tcPr>
            <w:tcW w:w="8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rPr>
                <w:rFonts w:cs="Arial"/>
                <w:szCs w:val="24"/>
              </w:rPr>
            </w:pPr>
            <w:r w:rsidRPr="004859D1">
              <w:rPr>
                <w:rFonts w:eastAsia="Arial" w:cs="Arial"/>
                <w:szCs w:val="24"/>
              </w:rPr>
              <w:t xml:space="preserve">District Allocation: 70% on the basis of reduction of risk based on condition and 30% on the basis of unexpected failures based on inventory records. </w:t>
            </w:r>
          </w:p>
        </w:tc>
      </w:tr>
      <w:tr w:rsidR="00350E4C" w:rsidRPr="004859D1" w:rsidTr="0035481F">
        <w:tblPrEx>
          <w:tblCellMar>
            <w:bottom w:w="0" w:type="dxa"/>
            <w:right w:w="47" w:type="dxa"/>
          </w:tblCellMar>
        </w:tblPrEx>
        <w:trPr>
          <w:trHeight w:val="49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61"/>
              <w:jc w:val="center"/>
              <w:rPr>
                <w:rFonts w:cs="Arial"/>
                <w:szCs w:val="24"/>
              </w:rPr>
            </w:pPr>
            <w:r w:rsidRPr="004859D1">
              <w:rPr>
                <w:rFonts w:eastAsia="Arial" w:cs="Arial"/>
                <w:szCs w:val="24"/>
              </w:rPr>
              <w:t>Traffic Signals</w:t>
            </w:r>
          </w:p>
        </w:tc>
        <w:tc>
          <w:tcPr>
            <w:tcW w:w="8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rPr>
                <w:rFonts w:eastAsia="Calibri" w:cs="Arial"/>
                <w:color w:val="1F497D"/>
                <w:szCs w:val="24"/>
              </w:rPr>
            </w:pPr>
            <w:r w:rsidRPr="004859D1">
              <w:rPr>
                <w:rFonts w:cs="Arial"/>
                <w:szCs w:val="24"/>
              </w:rPr>
              <w:t>Countywide prioritisation based on the age of units beyond their operational life, number of faults attended and vehicle accident records.</w:t>
            </w:r>
          </w:p>
        </w:tc>
      </w:tr>
      <w:tr w:rsidR="00350E4C" w:rsidRPr="004859D1" w:rsidTr="0035481F">
        <w:tblPrEx>
          <w:tblCellMar>
            <w:bottom w:w="0" w:type="dxa"/>
            <w:right w:w="47" w:type="dxa"/>
          </w:tblCellMar>
        </w:tblPrEx>
        <w:trPr>
          <w:trHeight w:val="74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61"/>
              <w:jc w:val="center"/>
              <w:rPr>
                <w:rFonts w:cs="Arial"/>
                <w:szCs w:val="24"/>
              </w:rPr>
            </w:pPr>
            <w:r w:rsidRPr="004859D1">
              <w:rPr>
                <w:rFonts w:eastAsia="Arial" w:cs="Arial"/>
                <w:szCs w:val="24"/>
              </w:rPr>
              <w:t>Bridges</w:t>
            </w:r>
          </w:p>
        </w:tc>
        <w:tc>
          <w:tcPr>
            <w:tcW w:w="8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rPr>
                <w:rFonts w:cs="Arial"/>
                <w:szCs w:val="24"/>
              </w:rPr>
            </w:pPr>
            <w:r w:rsidRPr="004859D1">
              <w:rPr>
                <w:rFonts w:eastAsia="Arial" w:cs="Arial"/>
                <w:szCs w:val="24"/>
              </w:rPr>
              <w:t>Countywide prioritisation based on priority bridges as indicated by condition and strategic importance.</w:t>
            </w:r>
          </w:p>
        </w:tc>
      </w:tr>
      <w:tr w:rsidR="00350E4C" w:rsidRPr="004859D1" w:rsidTr="0035481F">
        <w:tblPrEx>
          <w:tblCellMar>
            <w:bottom w:w="0" w:type="dxa"/>
            <w:right w:w="47" w:type="dxa"/>
          </w:tblCellMar>
        </w:tblPrEx>
        <w:trPr>
          <w:trHeight w:val="979"/>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left="11"/>
              <w:jc w:val="center"/>
              <w:rPr>
                <w:rFonts w:cs="Arial"/>
                <w:szCs w:val="24"/>
              </w:rPr>
            </w:pPr>
            <w:r w:rsidRPr="004859D1">
              <w:rPr>
                <w:rFonts w:eastAsia="Arial" w:cs="Arial"/>
                <w:szCs w:val="24"/>
              </w:rPr>
              <w:t>Structural Defects</w:t>
            </w:r>
          </w:p>
        </w:tc>
        <w:tc>
          <w:tcPr>
            <w:tcW w:w="8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19"/>
              <w:rPr>
                <w:rFonts w:cs="Arial"/>
                <w:szCs w:val="24"/>
              </w:rPr>
            </w:pPr>
            <w:r w:rsidRPr="004859D1">
              <w:rPr>
                <w:rFonts w:eastAsia="Arial" w:cs="Arial"/>
                <w:szCs w:val="24"/>
              </w:rPr>
              <w:t xml:space="preserve">Apportioned on an area basis. All defects that meet the safety intervention criteria will be addressed and therefore the actual expenditure will reflect operational demand. </w:t>
            </w:r>
          </w:p>
        </w:tc>
      </w:tr>
      <w:tr w:rsidR="00350E4C" w:rsidRPr="004859D1" w:rsidTr="0035481F">
        <w:tblPrEx>
          <w:tblCellMar>
            <w:bottom w:w="0" w:type="dxa"/>
            <w:right w:w="47" w:type="dxa"/>
          </w:tblCellMar>
        </w:tblPrEx>
        <w:trPr>
          <w:trHeight w:val="88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jc w:val="center"/>
              <w:rPr>
                <w:rFonts w:cs="Arial"/>
                <w:szCs w:val="24"/>
              </w:rPr>
            </w:pPr>
            <w:r w:rsidRPr="004859D1">
              <w:rPr>
                <w:rFonts w:eastAsia="Arial" w:cs="Arial"/>
                <w:szCs w:val="24"/>
              </w:rPr>
              <w:t>Safety Camera Maintenance</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cs="Arial"/>
                <w:szCs w:val="24"/>
              </w:rPr>
            </w:pPr>
            <w:r w:rsidRPr="004859D1">
              <w:rPr>
                <w:rFonts w:cs="Arial"/>
                <w:szCs w:val="24"/>
              </w:rPr>
              <w:t xml:space="preserve">In partnership with Lancashire Constabulary a programme of urgent work will be developed based on the information gained through the inspections. This programme will maintain and where necessary replace safety camera infrastructure on the highway.  </w:t>
            </w:r>
          </w:p>
        </w:tc>
      </w:tr>
      <w:tr w:rsidR="00350E4C" w:rsidRPr="004859D1" w:rsidTr="0035481F">
        <w:tblPrEx>
          <w:tblCellMar>
            <w:bottom w:w="0" w:type="dxa"/>
            <w:right w:w="47" w:type="dxa"/>
          </w:tblCellMar>
        </w:tblPrEx>
        <w:trPr>
          <w:trHeight w:val="1163"/>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jc w:val="center"/>
              <w:rPr>
                <w:rFonts w:eastAsia="Arial" w:cs="Arial"/>
                <w:szCs w:val="24"/>
              </w:rPr>
            </w:pPr>
            <w:r w:rsidRPr="004859D1">
              <w:rPr>
                <w:rFonts w:cs="Arial"/>
                <w:szCs w:val="24"/>
              </w:rPr>
              <w:t xml:space="preserve">Surveys, coring, and Geotechnical investigations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eastAsia="Calibri" w:cs="Arial"/>
                <w:szCs w:val="24"/>
              </w:rPr>
            </w:pPr>
            <w:r w:rsidRPr="004859D1">
              <w:rPr>
                <w:rFonts w:eastAsia="Calibri" w:cs="Arial"/>
                <w:szCs w:val="24"/>
              </w:rPr>
              <w:t>This will allow an evidence base to be developed to ensure schemes are developed in line with TAMP principles. The programme of works will support the delivery of the 2019-20 capital programme</w:t>
            </w:r>
            <w:r>
              <w:rPr>
                <w:rFonts w:eastAsia="Calibri" w:cs="Arial"/>
                <w:szCs w:val="24"/>
              </w:rPr>
              <w:t xml:space="preserve">. </w:t>
            </w:r>
            <w:r w:rsidRPr="004859D1">
              <w:rPr>
                <w:rFonts w:eastAsia="Calibri" w:cs="Arial"/>
                <w:szCs w:val="24"/>
              </w:rPr>
              <w:t xml:space="preserve"> </w:t>
            </w:r>
            <w:r>
              <w:rPr>
                <w:rFonts w:eastAsia="Calibri" w:cs="Arial"/>
                <w:szCs w:val="24"/>
              </w:rPr>
              <w:t xml:space="preserve"> </w:t>
            </w:r>
          </w:p>
        </w:tc>
      </w:tr>
      <w:tr w:rsidR="00350E4C" w:rsidRPr="004859D1" w:rsidTr="0035481F">
        <w:tblPrEx>
          <w:tblCellMar>
            <w:bottom w:w="0" w:type="dxa"/>
            <w:right w:w="47" w:type="dxa"/>
          </w:tblCellMar>
        </w:tblPrEx>
        <w:trPr>
          <w:trHeight w:val="93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61"/>
              <w:jc w:val="center"/>
              <w:rPr>
                <w:rFonts w:cs="Arial"/>
                <w:szCs w:val="24"/>
              </w:rPr>
            </w:pPr>
            <w:r w:rsidRPr="004859D1">
              <w:rPr>
                <w:rFonts w:cs="Arial"/>
                <w:szCs w:val="24"/>
              </w:rPr>
              <w:t>Jet Spray/Patching</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cs="Arial"/>
                <w:szCs w:val="24"/>
              </w:rPr>
            </w:pPr>
            <w:r w:rsidRPr="004859D1">
              <w:rPr>
                <w:rFonts w:cs="Arial"/>
                <w:szCs w:val="24"/>
              </w:rPr>
              <w:t>Following the success of the Jet Patching programme in 2018/19, it is proposed that this technique is utilised in 2019/20. This will be a reactive programme developed in year and targeted based on road condition data</w:t>
            </w:r>
          </w:p>
        </w:tc>
      </w:tr>
      <w:tr w:rsidR="00350E4C" w:rsidRPr="004859D1" w:rsidTr="0035481F">
        <w:tblPrEx>
          <w:tblCellMar>
            <w:bottom w:w="0" w:type="dxa"/>
            <w:right w:w="47" w:type="dxa"/>
          </w:tblCellMar>
        </w:tblPrEx>
        <w:trPr>
          <w:trHeight w:val="515"/>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jc w:val="center"/>
              <w:rPr>
                <w:rFonts w:eastAsia="Arial" w:cs="Arial"/>
                <w:szCs w:val="24"/>
              </w:rPr>
            </w:pPr>
            <w:r w:rsidRPr="004859D1">
              <w:rPr>
                <w:rFonts w:cs="Arial"/>
                <w:szCs w:val="24"/>
              </w:rPr>
              <w:t>Emerging Priorities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eastAsia="Calibri" w:cs="Arial"/>
                <w:szCs w:val="24"/>
              </w:rPr>
            </w:pPr>
            <w:r w:rsidRPr="004859D1">
              <w:rPr>
                <w:rFonts w:eastAsia="Calibri" w:cs="Arial"/>
                <w:szCs w:val="24"/>
              </w:rPr>
              <w:t>The following projects are priorities that are currently unfunded and need to be delivered urgently;</w:t>
            </w:r>
          </w:p>
          <w:p w:rsidR="00350E4C" w:rsidRPr="004859D1" w:rsidRDefault="00350E4C" w:rsidP="0035481F">
            <w:pPr>
              <w:rPr>
                <w:rFonts w:eastAsia="Calibri" w:cs="Arial"/>
                <w:szCs w:val="24"/>
              </w:rPr>
            </w:pPr>
            <w:r w:rsidRPr="004859D1">
              <w:rPr>
                <w:rFonts w:eastAsia="Calibri" w:cs="Arial"/>
                <w:szCs w:val="24"/>
              </w:rPr>
              <w:t xml:space="preserve">Lancaster Cattle Grids (£0.15m) - These are a series of cattle grids on </w:t>
            </w:r>
            <w:r w:rsidRPr="004859D1">
              <w:rPr>
                <w:rFonts w:eastAsia="Calibri" w:cs="Arial"/>
                <w:szCs w:val="24"/>
                <w:lang w:eastAsia="en-US"/>
              </w:rPr>
              <w:t xml:space="preserve">Rake House Brow and </w:t>
            </w:r>
            <w:proofErr w:type="spellStart"/>
            <w:r w:rsidRPr="004859D1">
              <w:rPr>
                <w:rFonts w:eastAsia="Calibri" w:cs="Arial"/>
                <w:szCs w:val="24"/>
                <w:lang w:eastAsia="en-US"/>
              </w:rPr>
              <w:t>Littledale</w:t>
            </w:r>
            <w:proofErr w:type="spellEnd"/>
            <w:r w:rsidRPr="004859D1">
              <w:rPr>
                <w:rFonts w:eastAsia="Calibri" w:cs="Arial"/>
                <w:szCs w:val="24"/>
                <w:lang w:eastAsia="en-US"/>
              </w:rPr>
              <w:t xml:space="preserve"> Road </w:t>
            </w:r>
            <w:r w:rsidRPr="004859D1">
              <w:rPr>
                <w:rFonts w:eastAsia="Calibri" w:cs="Arial"/>
                <w:szCs w:val="24"/>
              </w:rPr>
              <w:t xml:space="preserve">in the Lancaster district If these cattle grids are not repaired this road will need to close preventing access to a number of properties. </w:t>
            </w:r>
          </w:p>
          <w:p w:rsidR="00350E4C" w:rsidRPr="004859D1" w:rsidRDefault="00350E4C" w:rsidP="0035481F">
            <w:pPr>
              <w:rPr>
                <w:rFonts w:eastAsia="Calibri" w:cs="Arial"/>
                <w:szCs w:val="24"/>
              </w:rPr>
            </w:pPr>
            <w:r w:rsidRPr="004859D1">
              <w:rPr>
                <w:rFonts w:eastAsia="Calibri" w:cs="Arial"/>
                <w:szCs w:val="24"/>
              </w:rPr>
              <w:t xml:space="preserve">Tower Lodge Retaining Wall (£0.08m) – this work will ensure that the slope will not be able to engross onto the highway resulting in a road closure on the </w:t>
            </w:r>
            <w:r w:rsidRPr="004859D1">
              <w:rPr>
                <w:rFonts w:eastAsia="Calibri" w:cs="Arial"/>
                <w:szCs w:val="24"/>
                <w:lang w:eastAsia="en-US"/>
              </w:rPr>
              <w:t xml:space="preserve">C477 </w:t>
            </w:r>
            <w:proofErr w:type="spellStart"/>
            <w:r w:rsidRPr="004859D1">
              <w:rPr>
                <w:rFonts w:eastAsia="Calibri" w:cs="Arial"/>
                <w:szCs w:val="24"/>
                <w:lang w:eastAsia="en-US"/>
              </w:rPr>
              <w:t>Marshaw</w:t>
            </w:r>
            <w:proofErr w:type="spellEnd"/>
            <w:r w:rsidRPr="004859D1">
              <w:rPr>
                <w:rFonts w:eastAsia="Calibri" w:cs="Arial"/>
                <w:szCs w:val="24"/>
                <w:lang w:eastAsia="en-US"/>
              </w:rPr>
              <w:t xml:space="preserve"> Wyre</w:t>
            </w:r>
            <w:r w:rsidRPr="004859D1">
              <w:rPr>
                <w:rFonts w:eastAsia="Calibri" w:cs="Arial"/>
                <w:szCs w:val="24"/>
              </w:rPr>
              <w:t>.</w:t>
            </w:r>
          </w:p>
          <w:p w:rsidR="00350E4C" w:rsidRPr="004859D1" w:rsidRDefault="00350E4C" w:rsidP="0035481F">
            <w:pPr>
              <w:rPr>
                <w:rFonts w:eastAsia="Calibri" w:cs="Arial"/>
                <w:szCs w:val="24"/>
              </w:rPr>
            </w:pPr>
            <w:proofErr w:type="spellStart"/>
            <w:r w:rsidRPr="004859D1">
              <w:rPr>
                <w:rFonts w:eastAsia="Calibri" w:cs="Arial"/>
                <w:szCs w:val="24"/>
              </w:rPr>
              <w:t>Cuerdale</w:t>
            </w:r>
            <w:proofErr w:type="spellEnd"/>
            <w:r w:rsidRPr="004859D1">
              <w:rPr>
                <w:rFonts w:eastAsia="Calibri" w:cs="Arial"/>
                <w:szCs w:val="24"/>
              </w:rPr>
              <w:t xml:space="preserve"> Slope Monitoring (£0.035m) – this slope is on the edge of the River Ribble where a scout hut is situated. Monitoring this slope will determine the magnitude of the issue and ensure measures are in place to stabilise the slope to protect the scout hut and the B6230 </w:t>
            </w:r>
            <w:proofErr w:type="spellStart"/>
            <w:r w:rsidRPr="004859D1">
              <w:rPr>
                <w:rFonts w:eastAsia="Calibri" w:cs="Arial"/>
                <w:szCs w:val="24"/>
              </w:rPr>
              <w:t>Cuerdale</w:t>
            </w:r>
            <w:proofErr w:type="spellEnd"/>
            <w:r w:rsidRPr="004859D1">
              <w:rPr>
                <w:rFonts w:eastAsia="Calibri" w:cs="Arial"/>
                <w:szCs w:val="24"/>
              </w:rPr>
              <w:t xml:space="preserve"> Lane.</w:t>
            </w:r>
          </w:p>
        </w:tc>
      </w:tr>
      <w:tr w:rsidR="00350E4C" w:rsidRPr="004859D1" w:rsidTr="0035481F">
        <w:tblPrEx>
          <w:tblCellMar>
            <w:bottom w:w="0" w:type="dxa"/>
            <w:right w:w="47" w:type="dxa"/>
          </w:tblCellMar>
        </w:tblPrEx>
        <w:trPr>
          <w:trHeight w:val="374"/>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jc w:val="center"/>
              <w:rPr>
                <w:rFonts w:eastAsia="Arial" w:cs="Arial"/>
                <w:szCs w:val="24"/>
              </w:rPr>
            </w:pPr>
            <w:r w:rsidRPr="004859D1">
              <w:rPr>
                <w:rFonts w:cs="Arial"/>
                <w:szCs w:val="24"/>
              </w:rPr>
              <w:t>Risk Based Condition Assessments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eastAsia="Calibri" w:cs="Arial"/>
                <w:szCs w:val="24"/>
              </w:rPr>
            </w:pPr>
            <w:r w:rsidRPr="004859D1">
              <w:rPr>
                <w:rFonts w:eastAsia="Calibri" w:cs="Arial"/>
                <w:szCs w:val="24"/>
              </w:rPr>
              <w:t xml:space="preserve">This work will ensure that a targeted programme of maintenance can be developed that is evidence based;   </w:t>
            </w:r>
          </w:p>
          <w:p w:rsidR="00350E4C" w:rsidRPr="004859D1" w:rsidRDefault="00350E4C" w:rsidP="00350E4C">
            <w:pPr>
              <w:pStyle w:val="ListParagraph"/>
              <w:numPr>
                <w:ilvl w:val="0"/>
                <w:numId w:val="1"/>
              </w:numPr>
              <w:spacing w:after="0" w:line="240" w:lineRule="auto"/>
              <w:jc w:val="left"/>
              <w:rPr>
                <w:rFonts w:eastAsia="Calibri"/>
                <w:szCs w:val="24"/>
              </w:rPr>
            </w:pPr>
            <w:r w:rsidRPr="004859D1">
              <w:rPr>
                <w:rFonts w:eastAsia="Calibri"/>
                <w:szCs w:val="24"/>
              </w:rPr>
              <w:t>Column testing (£0.175m)</w:t>
            </w:r>
          </w:p>
          <w:p w:rsidR="00350E4C" w:rsidRPr="004859D1" w:rsidRDefault="00350E4C" w:rsidP="00350E4C">
            <w:pPr>
              <w:pStyle w:val="ListParagraph"/>
              <w:numPr>
                <w:ilvl w:val="0"/>
                <w:numId w:val="1"/>
              </w:numPr>
              <w:spacing w:after="0" w:line="240" w:lineRule="auto"/>
              <w:jc w:val="left"/>
              <w:rPr>
                <w:rFonts w:eastAsia="Calibri"/>
                <w:szCs w:val="24"/>
              </w:rPr>
            </w:pPr>
            <w:r w:rsidRPr="004859D1">
              <w:rPr>
                <w:rFonts w:eastAsia="Calibri"/>
                <w:szCs w:val="24"/>
              </w:rPr>
              <w:t>Vehicle restraint barrier assessments (£0.400m)</w:t>
            </w:r>
          </w:p>
          <w:p w:rsidR="00350E4C" w:rsidRPr="004859D1" w:rsidRDefault="00350E4C" w:rsidP="00350E4C">
            <w:pPr>
              <w:pStyle w:val="ListParagraph"/>
              <w:numPr>
                <w:ilvl w:val="0"/>
                <w:numId w:val="1"/>
              </w:numPr>
              <w:spacing w:after="0" w:line="240" w:lineRule="auto"/>
              <w:ind w:right="61"/>
              <w:rPr>
                <w:szCs w:val="24"/>
              </w:rPr>
            </w:pPr>
            <w:r w:rsidRPr="004859D1">
              <w:rPr>
                <w:rFonts w:eastAsia="Calibri"/>
                <w:szCs w:val="24"/>
              </w:rPr>
              <w:t>Bridge risk based assessments (£0.575m)</w:t>
            </w:r>
          </w:p>
        </w:tc>
      </w:tr>
      <w:tr w:rsidR="00350E4C" w:rsidRPr="004859D1" w:rsidTr="0035481F">
        <w:tblPrEx>
          <w:tblCellMar>
            <w:bottom w:w="0" w:type="dxa"/>
            <w:right w:w="47" w:type="dxa"/>
          </w:tblCellMar>
        </w:tblPrEx>
        <w:trPr>
          <w:trHeight w:val="59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jc w:val="center"/>
              <w:rPr>
                <w:rFonts w:cs="Arial"/>
                <w:szCs w:val="24"/>
              </w:rPr>
            </w:pPr>
            <w:r w:rsidRPr="004859D1">
              <w:rPr>
                <w:rFonts w:cs="Arial"/>
                <w:szCs w:val="24"/>
              </w:rPr>
              <w:t>In year priorities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eastAsia="Calibri" w:cs="Arial"/>
                <w:szCs w:val="24"/>
              </w:rPr>
            </w:pPr>
            <w:r w:rsidRPr="004859D1">
              <w:rPr>
                <w:rFonts w:eastAsia="Calibri" w:cs="Arial"/>
                <w:szCs w:val="24"/>
              </w:rPr>
              <w:t>To enable any in year priorities to be addressed.</w:t>
            </w:r>
          </w:p>
        </w:tc>
      </w:tr>
      <w:tr w:rsidR="00350E4C" w:rsidRPr="004859D1" w:rsidTr="0035481F">
        <w:tblPrEx>
          <w:tblCellMar>
            <w:bottom w:w="0" w:type="dxa"/>
            <w:right w:w="47" w:type="dxa"/>
          </w:tblCellMar>
        </w:tblPrEx>
        <w:trPr>
          <w:trHeight w:val="104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jc w:val="center"/>
              <w:rPr>
                <w:rFonts w:cs="Arial"/>
                <w:szCs w:val="24"/>
              </w:rPr>
            </w:pPr>
            <w:r w:rsidRPr="004859D1">
              <w:rPr>
                <w:rFonts w:cs="Arial"/>
                <w:szCs w:val="24"/>
              </w:rPr>
              <w:lastRenderedPageBreak/>
              <w:t>Surface Dressing and pre patching</w:t>
            </w:r>
          </w:p>
          <w:p w:rsidR="00350E4C" w:rsidRPr="004859D1" w:rsidRDefault="00350E4C" w:rsidP="0035481F">
            <w:pPr>
              <w:jc w:val="center"/>
              <w:rPr>
                <w:rFonts w:cs="Arial"/>
                <w:szCs w:val="24"/>
              </w:rPr>
            </w:pP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eastAsia="Calibri" w:cs="Arial"/>
                <w:szCs w:val="24"/>
              </w:rPr>
            </w:pPr>
            <w:r w:rsidRPr="004859D1">
              <w:rPr>
                <w:rFonts w:eastAsia="Calibri" w:cs="Arial"/>
                <w:szCs w:val="24"/>
              </w:rPr>
              <w:t>This allocation will seal the patching undertaken as part of previous Pothole Action Fund Programmes using treatments such as surface dressing / micro asphalt to extend the life span of the patching work undertaken to date. These locations will principally be in urban and rural areas.</w:t>
            </w:r>
          </w:p>
        </w:tc>
      </w:tr>
      <w:tr w:rsidR="00350E4C" w:rsidRPr="004859D1" w:rsidTr="0035481F">
        <w:tblPrEx>
          <w:tblCellMar>
            <w:bottom w:w="0" w:type="dxa"/>
            <w:right w:w="47" w:type="dxa"/>
          </w:tblCellMar>
        </w:tblPrEx>
        <w:trPr>
          <w:trHeight w:val="37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jc w:val="center"/>
              <w:rPr>
                <w:rFonts w:cs="Arial"/>
                <w:szCs w:val="24"/>
              </w:rPr>
            </w:pPr>
            <w:r w:rsidRPr="004859D1">
              <w:rPr>
                <w:rFonts w:cs="Arial"/>
                <w:szCs w:val="24"/>
              </w:rPr>
              <w:t>Derby Street Bridge</w:t>
            </w:r>
          </w:p>
          <w:p w:rsidR="00350E4C" w:rsidRPr="004859D1" w:rsidRDefault="00350E4C" w:rsidP="0035481F">
            <w:pPr>
              <w:jc w:val="center"/>
              <w:rPr>
                <w:rFonts w:cs="Arial"/>
                <w:szCs w:val="24"/>
              </w:rPr>
            </w:pP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eastAsia="Calibri" w:cs="Arial"/>
                <w:szCs w:val="24"/>
              </w:rPr>
            </w:pPr>
            <w:r w:rsidRPr="004859D1">
              <w:rPr>
                <w:rFonts w:cs="Arial"/>
                <w:szCs w:val="24"/>
              </w:rPr>
              <w:t xml:space="preserve">The 2018/19 Incentive Fund made provision to contribute funding the Derby Street Bridge project. The approval included a first call on 2019-20 Incentive Fund to provide a further contribution. </w:t>
            </w:r>
          </w:p>
        </w:tc>
      </w:tr>
      <w:tr w:rsidR="00350E4C" w:rsidRPr="004859D1" w:rsidTr="0035481F">
        <w:tblPrEx>
          <w:tblCellMar>
            <w:bottom w:w="0" w:type="dxa"/>
            <w:right w:w="47" w:type="dxa"/>
          </w:tblCellMar>
        </w:tblPrEx>
        <w:trPr>
          <w:trHeight w:val="37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jc w:val="center"/>
              <w:rPr>
                <w:rFonts w:cs="Arial"/>
                <w:szCs w:val="24"/>
              </w:rPr>
            </w:pPr>
            <w:r w:rsidRPr="004859D1">
              <w:rPr>
                <w:rFonts w:cs="Arial"/>
                <w:szCs w:val="24"/>
              </w:rPr>
              <w:t>Fishergate Public Realm Improvements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eastAsia="Calibri" w:cs="Arial"/>
                <w:szCs w:val="24"/>
              </w:rPr>
            </w:pPr>
            <w:r w:rsidRPr="004859D1">
              <w:rPr>
                <w:rFonts w:cs="Arial"/>
                <w:szCs w:val="24"/>
              </w:rPr>
              <w:t>This funding will allow additional hostile vehicle restraint measures to be introduced on Fishergate.</w:t>
            </w:r>
          </w:p>
        </w:tc>
      </w:tr>
    </w:tbl>
    <w:p w:rsidR="00350E4C" w:rsidRPr="004859D1" w:rsidRDefault="00350E4C" w:rsidP="00350E4C">
      <w:pPr>
        <w:rPr>
          <w:rFonts w:eastAsia="Arial" w:cs="Arial"/>
          <w:b/>
          <w:szCs w:val="24"/>
        </w:rPr>
      </w:pPr>
    </w:p>
    <w:p w:rsidR="00350E4C" w:rsidRPr="004859D1" w:rsidRDefault="00350E4C" w:rsidP="00350E4C">
      <w:pPr>
        <w:ind w:hanging="709"/>
        <w:rPr>
          <w:rFonts w:eastAsia="Arial" w:cs="Arial"/>
          <w:b/>
          <w:szCs w:val="24"/>
        </w:rPr>
      </w:pPr>
      <w:r w:rsidRPr="004859D1">
        <w:rPr>
          <w:rFonts w:eastAsia="Arial" w:cs="Arial"/>
          <w:b/>
          <w:szCs w:val="24"/>
        </w:rPr>
        <w:t>Transport</w:t>
      </w:r>
    </w:p>
    <w:p w:rsidR="00350E4C" w:rsidRPr="004859D1" w:rsidRDefault="00350E4C" w:rsidP="00350E4C">
      <w:pPr>
        <w:ind w:left="-709"/>
        <w:rPr>
          <w:rFonts w:eastAsia="Arial" w:cs="Arial"/>
          <w:szCs w:val="24"/>
        </w:rPr>
      </w:pPr>
      <w:r w:rsidRPr="004859D1">
        <w:rPr>
          <w:rFonts w:eastAsia="Arial" w:cs="Arial"/>
          <w:szCs w:val="24"/>
        </w:rPr>
        <w:t>The proposed criteria for determining the countywide allocations and the projects to be included in the 2019/20 Integrated Transport capital programme is set out below:</w:t>
      </w:r>
    </w:p>
    <w:p w:rsidR="00350E4C" w:rsidRPr="004859D1" w:rsidRDefault="00350E4C" w:rsidP="00350E4C">
      <w:pPr>
        <w:rPr>
          <w:rFonts w:eastAsia="Arial" w:cs="Arial"/>
          <w:szCs w:val="24"/>
        </w:rPr>
      </w:pPr>
    </w:p>
    <w:tbl>
      <w:tblPr>
        <w:tblW w:w="10241" w:type="dxa"/>
        <w:tblInd w:w="-601" w:type="dxa"/>
        <w:tblCellMar>
          <w:top w:w="51" w:type="dxa"/>
          <w:bottom w:w="5" w:type="dxa"/>
          <w:right w:w="54" w:type="dxa"/>
        </w:tblCellMar>
        <w:tblLook w:val="04A0" w:firstRow="1" w:lastRow="0" w:firstColumn="1" w:lastColumn="0" w:noHBand="0" w:noVBand="1"/>
      </w:tblPr>
      <w:tblGrid>
        <w:gridCol w:w="1985"/>
        <w:gridCol w:w="8256"/>
      </w:tblGrid>
      <w:tr w:rsidR="00350E4C" w:rsidRPr="004859D1" w:rsidTr="0035481F">
        <w:trPr>
          <w:trHeight w:val="263"/>
          <w:tblHeader/>
        </w:trPr>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350E4C" w:rsidRPr="004859D1" w:rsidRDefault="00350E4C" w:rsidP="0035481F">
            <w:pPr>
              <w:ind w:right="54"/>
              <w:jc w:val="center"/>
              <w:rPr>
                <w:rFonts w:cs="Arial"/>
                <w:szCs w:val="24"/>
              </w:rPr>
            </w:pPr>
            <w:r w:rsidRPr="004859D1">
              <w:rPr>
                <w:rFonts w:eastAsia="Arial" w:cs="Arial"/>
                <w:b/>
                <w:szCs w:val="24"/>
              </w:rPr>
              <w:t>Asset Class</w:t>
            </w:r>
          </w:p>
        </w:tc>
        <w:tc>
          <w:tcPr>
            <w:tcW w:w="8256" w:type="dxa"/>
            <w:tcBorders>
              <w:top w:val="single" w:sz="4" w:space="0" w:color="000000"/>
              <w:left w:val="single" w:sz="4" w:space="0" w:color="000000"/>
              <w:bottom w:val="single" w:sz="4" w:space="0" w:color="000000"/>
              <w:right w:val="single" w:sz="4" w:space="0" w:color="000000"/>
            </w:tcBorders>
            <w:shd w:val="clear" w:color="auto" w:fill="D9D9D9"/>
          </w:tcPr>
          <w:p w:rsidR="00350E4C" w:rsidRPr="004859D1" w:rsidRDefault="00350E4C" w:rsidP="0035481F">
            <w:pPr>
              <w:jc w:val="center"/>
              <w:rPr>
                <w:rFonts w:cs="Arial"/>
                <w:szCs w:val="24"/>
              </w:rPr>
            </w:pPr>
            <w:r w:rsidRPr="004859D1">
              <w:rPr>
                <w:rFonts w:eastAsia="Arial" w:cs="Arial"/>
                <w:b/>
                <w:szCs w:val="24"/>
              </w:rPr>
              <w:t>2019/20 Proposed Criteria</w:t>
            </w:r>
          </w:p>
        </w:tc>
      </w:tr>
      <w:tr w:rsidR="00350E4C" w:rsidRPr="004859D1" w:rsidTr="0035481F">
        <w:trPr>
          <w:trHeight w:val="37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ind w:right="57"/>
              <w:jc w:val="center"/>
              <w:rPr>
                <w:rFonts w:cs="Arial"/>
                <w:szCs w:val="24"/>
              </w:rPr>
            </w:pPr>
            <w:r w:rsidRPr="004859D1">
              <w:rPr>
                <w:rFonts w:cs="Arial"/>
                <w:szCs w:val="24"/>
              </w:rPr>
              <w:t>Road Safety Projects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jc w:val="both"/>
              <w:rPr>
                <w:rFonts w:cs="Arial"/>
                <w:szCs w:val="24"/>
              </w:rPr>
            </w:pPr>
            <w:r w:rsidRPr="004859D1">
              <w:rPr>
                <w:rFonts w:cs="Arial"/>
                <w:szCs w:val="24"/>
              </w:rPr>
              <w:t>Countywide prioritisation based on the number of collisions, anticipated accident savings and cost.</w:t>
            </w:r>
          </w:p>
        </w:tc>
      </w:tr>
      <w:tr w:rsidR="00350E4C" w:rsidRPr="004859D1" w:rsidTr="0035481F">
        <w:trPr>
          <w:trHeight w:val="3046"/>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54"/>
              <w:jc w:val="center"/>
              <w:rPr>
                <w:rFonts w:cs="Arial"/>
                <w:szCs w:val="24"/>
              </w:rPr>
            </w:pPr>
            <w:r w:rsidRPr="004859D1">
              <w:rPr>
                <w:rFonts w:eastAsia="Arial" w:cs="Arial"/>
                <w:szCs w:val="24"/>
              </w:rPr>
              <w:t>Cycling Safety</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cs="Arial"/>
                <w:b/>
                <w:szCs w:val="24"/>
              </w:rPr>
            </w:pPr>
            <w:r w:rsidRPr="004859D1">
              <w:rPr>
                <w:rFonts w:cs="Arial"/>
                <w:b/>
                <w:szCs w:val="24"/>
              </w:rPr>
              <w:t>Stage 1</w:t>
            </w:r>
          </w:p>
          <w:p w:rsidR="00350E4C" w:rsidRPr="004859D1" w:rsidRDefault="00350E4C" w:rsidP="0035481F">
            <w:pPr>
              <w:rPr>
                <w:rFonts w:cs="Arial"/>
                <w:szCs w:val="24"/>
              </w:rPr>
            </w:pPr>
            <w:r w:rsidRPr="004859D1">
              <w:rPr>
                <w:rFonts w:cs="Arial"/>
                <w:szCs w:val="24"/>
              </w:rPr>
              <w:t xml:space="preserve">£50,000 to be top sliced from the overall allocation to be used for monitoring and evaluation of schemes in the approved programme in terms of casualty rate and other anticipated outcomes. </w:t>
            </w:r>
          </w:p>
          <w:p w:rsidR="00350E4C" w:rsidRPr="004859D1" w:rsidRDefault="00350E4C" w:rsidP="0035481F">
            <w:pPr>
              <w:rPr>
                <w:rFonts w:cs="Arial"/>
                <w:b/>
                <w:szCs w:val="24"/>
              </w:rPr>
            </w:pPr>
            <w:r w:rsidRPr="004859D1">
              <w:rPr>
                <w:rFonts w:cs="Arial"/>
                <w:b/>
                <w:szCs w:val="24"/>
              </w:rPr>
              <w:t>Stage 2</w:t>
            </w:r>
          </w:p>
          <w:p w:rsidR="00350E4C" w:rsidRPr="004859D1" w:rsidRDefault="00350E4C" w:rsidP="0035481F">
            <w:pPr>
              <w:rPr>
                <w:rFonts w:cs="Arial"/>
                <w:szCs w:val="24"/>
              </w:rPr>
            </w:pPr>
            <w:r w:rsidRPr="004859D1">
              <w:rPr>
                <w:rFonts w:cs="Arial"/>
                <w:szCs w:val="24"/>
              </w:rPr>
              <w:t>Schemes with a First Year rate of Return (FYRR) greater than 50% will be identified, prioritised and funded up to the remaining approved allocation.</w:t>
            </w:r>
          </w:p>
          <w:p w:rsidR="00350E4C" w:rsidRPr="004859D1" w:rsidRDefault="00350E4C" w:rsidP="0035481F">
            <w:pPr>
              <w:rPr>
                <w:rFonts w:cs="Arial"/>
                <w:b/>
                <w:szCs w:val="24"/>
              </w:rPr>
            </w:pPr>
            <w:r w:rsidRPr="004859D1">
              <w:rPr>
                <w:rFonts w:cs="Arial"/>
                <w:b/>
                <w:szCs w:val="24"/>
              </w:rPr>
              <w:t>Stage 3</w:t>
            </w:r>
          </w:p>
          <w:p w:rsidR="00350E4C" w:rsidRPr="004859D1" w:rsidRDefault="00350E4C" w:rsidP="0035481F">
            <w:pPr>
              <w:rPr>
                <w:rFonts w:cs="Arial"/>
                <w:szCs w:val="24"/>
              </w:rPr>
            </w:pPr>
            <w:r w:rsidRPr="004859D1">
              <w:rPr>
                <w:rFonts w:cs="Arial"/>
                <w:szCs w:val="24"/>
              </w:rPr>
              <w:t>If stages 1 and 2 have been completed and funding remains available it is proposed that other criteria is applied to the projects with a FYRR lower than 50% to assess whether the schemes have the potential to offer wider benefits. The assessment would consider;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1376"/>
            </w:tblGrid>
            <w:tr w:rsidR="00350E4C" w:rsidRPr="004859D1" w:rsidTr="0035481F">
              <w:tc>
                <w:tcPr>
                  <w:tcW w:w="7640" w:type="dxa"/>
                  <w:shd w:val="clear" w:color="auto" w:fill="auto"/>
                </w:tcPr>
                <w:p w:rsidR="00350E4C" w:rsidRPr="004859D1" w:rsidRDefault="00350E4C" w:rsidP="0035481F">
                  <w:pPr>
                    <w:jc w:val="center"/>
                    <w:rPr>
                      <w:rFonts w:cs="Arial"/>
                      <w:b/>
                      <w:szCs w:val="24"/>
                    </w:rPr>
                  </w:pPr>
                  <w:r w:rsidRPr="004859D1">
                    <w:rPr>
                      <w:rFonts w:cs="Arial"/>
                      <w:b/>
                      <w:szCs w:val="24"/>
                    </w:rPr>
                    <w:t>Wider Benefits to be considered for schemes with FYRR &lt; 50%</w:t>
                  </w:r>
                </w:p>
              </w:tc>
              <w:tc>
                <w:tcPr>
                  <w:tcW w:w="1376" w:type="dxa"/>
                  <w:shd w:val="clear" w:color="auto" w:fill="auto"/>
                </w:tcPr>
                <w:p w:rsidR="00350E4C" w:rsidRPr="004859D1" w:rsidRDefault="00350E4C" w:rsidP="0035481F">
                  <w:pPr>
                    <w:jc w:val="center"/>
                    <w:rPr>
                      <w:rFonts w:cs="Arial"/>
                      <w:b/>
                      <w:szCs w:val="24"/>
                    </w:rPr>
                  </w:pPr>
                  <w:r w:rsidRPr="004859D1">
                    <w:rPr>
                      <w:rFonts w:cs="Arial"/>
                      <w:b/>
                      <w:szCs w:val="24"/>
                    </w:rPr>
                    <w:t>Weighting</w:t>
                  </w:r>
                </w:p>
              </w:tc>
            </w:tr>
            <w:tr w:rsidR="00350E4C" w:rsidRPr="004859D1" w:rsidTr="0035481F">
              <w:tc>
                <w:tcPr>
                  <w:tcW w:w="7640" w:type="dxa"/>
                  <w:shd w:val="clear" w:color="auto" w:fill="auto"/>
                </w:tcPr>
                <w:p w:rsidR="00350E4C" w:rsidRPr="004859D1" w:rsidRDefault="00350E4C" w:rsidP="0035481F">
                  <w:pPr>
                    <w:rPr>
                      <w:rFonts w:cs="Arial"/>
                      <w:szCs w:val="24"/>
                    </w:rPr>
                  </w:pPr>
                  <w:r w:rsidRPr="004859D1">
                    <w:rPr>
                      <w:rFonts w:cs="Arial"/>
                      <w:szCs w:val="24"/>
                    </w:rPr>
                    <w:t>Encourages the use of routes away from cycling accident locations</w:t>
                  </w:r>
                </w:p>
              </w:tc>
              <w:tc>
                <w:tcPr>
                  <w:tcW w:w="1376" w:type="dxa"/>
                  <w:shd w:val="clear" w:color="auto" w:fill="auto"/>
                </w:tcPr>
                <w:p w:rsidR="00350E4C" w:rsidRPr="004859D1" w:rsidRDefault="00350E4C" w:rsidP="0035481F">
                  <w:pPr>
                    <w:jc w:val="center"/>
                    <w:rPr>
                      <w:rFonts w:cs="Arial"/>
                      <w:szCs w:val="24"/>
                    </w:rPr>
                  </w:pPr>
                  <w:r w:rsidRPr="004859D1">
                    <w:rPr>
                      <w:rFonts w:cs="Arial"/>
                      <w:szCs w:val="24"/>
                    </w:rPr>
                    <w:t>6</w:t>
                  </w:r>
                </w:p>
              </w:tc>
            </w:tr>
            <w:tr w:rsidR="00350E4C" w:rsidRPr="004859D1" w:rsidTr="0035481F">
              <w:tc>
                <w:tcPr>
                  <w:tcW w:w="7640" w:type="dxa"/>
                  <w:shd w:val="clear" w:color="auto" w:fill="auto"/>
                </w:tcPr>
                <w:p w:rsidR="00350E4C" w:rsidRPr="004859D1" w:rsidRDefault="00350E4C" w:rsidP="0035481F">
                  <w:pPr>
                    <w:rPr>
                      <w:rFonts w:cs="Arial"/>
                      <w:szCs w:val="24"/>
                    </w:rPr>
                  </w:pPr>
                  <w:r w:rsidRPr="004859D1">
                    <w:rPr>
                      <w:rFonts w:cs="Arial"/>
                      <w:szCs w:val="24"/>
                    </w:rPr>
                    <w:t>Improves the amenity and perceived risk that would encourage more people to cycle</w:t>
                  </w:r>
                </w:p>
              </w:tc>
              <w:tc>
                <w:tcPr>
                  <w:tcW w:w="1376" w:type="dxa"/>
                  <w:shd w:val="clear" w:color="auto" w:fill="auto"/>
                </w:tcPr>
                <w:p w:rsidR="00350E4C" w:rsidRPr="004859D1" w:rsidRDefault="00350E4C" w:rsidP="0035481F">
                  <w:pPr>
                    <w:jc w:val="center"/>
                    <w:rPr>
                      <w:rFonts w:cs="Arial"/>
                      <w:szCs w:val="24"/>
                    </w:rPr>
                  </w:pPr>
                  <w:r w:rsidRPr="004859D1">
                    <w:rPr>
                      <w:rFonts w:cs="Arial"/>
                      <w:szCs w:val="24"/>
                    </w:rPr>
                    <w:t>2</w:t>
                  </w:r>
                </w:p>
              </w:tc>
            </w:tr>
            <w:tr w:rsidR="00350E4C" w:rsidRPr="004859D1" w:rsidTr="0035481F">
              <w:tc>
                <w:tcPr>
                  <w:tcW w:w="7640" w:type="dxa"/>
                  <w:shd w:val="clear" w:color="auto" w:fill="auto"/>
                </w:tcPr>
                <w:p w:rsidR="00350E4C" w:rsidRPr="004859D1" w:rsidRDefault="00350E4C" w:rsidP="0035481F">
                  <w:pPr>
                    <w:rPr>
                      <w:rFonts w:cs="Arial"/>
                      <w:szCs w:val="24"/>
                    </w:rPr>
                  </w:pPr>
                  <w:r w:rsidRPr="004859D1">
                    <w:rPr>
                      <w:rFonts w:cs="Arial"/>
                      <w:szCs w:val="24"/>
                    </w:rPr>
                    <w:t>Improves cycling access to employment, houses and education</w:t>
                  </w:r>
                </w:p>
              </w:tc>
              <w:tc>
                <w:tcPr>
                  <w:tcW w:w="1376" w:type="dxa"/>
                  <w:shd w:val="clear" w:color="auto" w:fill="auto"/>
                </w:tcPr>
                <w:p w:rsidR="00350E4C" w:rsidRPr="004859D1" w:rsidRDefault="00350E4C" w:rsidP="0035481F">
                  <w:pPr>
                    <w:jc w:val="center"/>
                    <w:rPr>
                      <w:rFonts w:cs="Arial"/>
                      <w:szCs w:val="24"/>
                    </w:rPr>
                  </w:pPr>
                  <w:r w:rsidRPr="004859D1">
                    <w:rPr>
                      <w:rFonts w:cs="Arial"/>
                      <w:szCs w:val="24"/>
                    </w:rPr>
                    <w:t>2</w:t>
                  </w:r>
                </w:p>
              </w:tc>
            </w:tr>
            <w:tr w:rsidR="00350E4C" w:rsidRPr="004859D1" w:rsidTr="0035481F">
              <w:tc>
                <w:tcPr>
                  <w:tcW w:w="7640" w:type="dxa"/>
                  <w:shd w:val="clear" w:color="auto" w:fill="auto"/>
                </w:tcPr>
                <w:p w:rsidR="00350E4C" w:rsidRPr="004859D1" w:rsidRDefault="00350E4C" w:rsidP="0035481F">
                  <w:pPr>
                    <w:rPr>
                      <w:rFonts w:cs="Arial"/>
                      <w:szCs w:val="24"/>
                    </w:rPr>
                  </w:pPr>
                  <w:r w:rsidRPr="004859D1">
                    <w:rPr>
                      <w:rFonts w:cs="Arial"/>
                      <w:szCs w:val="24"/>
                    </w:rPr>
                    <w:t>Improves cycling routes for leisure cyclists</w:t>
                  </w:r>
                </w:p>
              </w:tc>
              <w:tc>
                <w:tcPr>
                  <w:tcW w:w="1376" w:type="dxa"/>
                  <w:shd w:val="clear" w:color="auto" w:fill="auto"/>
                </w:tcPr>
                <w:p w:rsidR="00350E4C" w:rsidRPr="004859D1" w:rsidRDefault="00350E4C" w:rsidP="0035481F">
                  <w:pPr>
                    <w:jc w:val="center"/>
                    <w:rPr>
                      <w:rFonts w:cs="Arial"/>
                      <w:szCs w:val="24"/>
                    </w:rPr>
                  </w:pPr>
                  <w:r w:rsidRPr="004859D1">
                    <w:rPr>
                      <w:rFonts w:cs="Arial"/>
                      <w:szCs w:val="24"/>
                    </w:rPr>
                    <w:t>1</w:t>
                  </w:r>
                </w:p>
              </w:tc>
            </w:tr>
          </w:tbl>
          <w:p w:rsidR="00350E4C" w:rsidRPr="004859D1" w:rsidRDefault="00350E4C" w:rsidP="0035481F">
            <w:pPr>
              <w:ind w:right="1"/>
              <w:jc w:val="both"/>
              <w:rPr>
                <w:rFonts w:cs="Arial"/>
                <w:szCs w:val="24"/>
              </w:rPr>
            </w:pPr>
          </w:p>
        </w:tc>
      </w:tr>
      <w:tr w:rsidR="00350E4C" w:rsidRPr="004859D1" w:rsidTr="0035481F">
        <w:trPr>
          <w:trHeight w:val="101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61"/>
              <w:jc w:val="center"/>
              <w:rPr>
                <w:rFonts w:cs="Arial"/>
                <w:szCs w:val="24"/>
              </w:rPr>
            </w:pPr>
            <w:r w:rsidRPr="004859D1">
              <w:rPr>
                <w:rFonts w:eastAsia="Arial" w:cs="Arial"/>
                <w:szCs w:val="24"/>
              </w:rPr>
              <w:t xml:space="preserve">Public Rights of </w:t>
            </w:r>
          </w:p>
          <w:p w:rsidR="00350E4C" w:rsidRPr="004859D1" w:rsidRDefault="00350E4C" w:rsidP="0035481F">
            <w:pPr>
              <w:ind w:right="54"/>
              <w:jc w:val="center"/>
              <w:rPr>
                <w:rFonts w:eastAsia="Arial" w:cs="Arial"/>
                <w:szCs w:val="24"/>
              </w:rPr>
            </w:pPr>
            <w:r w:rsidRPr="004859D1">
              <w:rPr>
                <w:rFonts w:eastAsia="Arial" w:cs="Arial"/>
                <w:szCs w:val="24"/>
              </w:rPr>
              <w:t>Way</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ind w:right="54"/>
              <w:rPr>
                <w:rFonts w:cs="Arial"/>
                <w:b/>
                <w:szCs w:val="24"/>
              </w:rPr>
            </w:pPr>
            <w:r w:rsidRPr="004859D1">
              <w:rPr>
                <w:rFonts w:eastAsia="Arial" w:cs="Arial"/>
                <w:szCs w:val="24"/>
              </w:rPr>
              <w:t>Countywide intervention: design and works to address structural repairs on the Public Rights of Way network on an ongoing basis and to address issues as they arise throughout the year.</w:t>
            </w:r>
          </w:p>
        </w:tc>
      </w:tr>
      <w:tr w:rsidR="00350E4C" w:rsidRPr="004859D1" w:rsidTr="0035481F">
        <w:trPr>
          <w:trHeight w:val="656"/>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54"/>
              <w:jc w:val="center"/>
              <w:rPr>
                <w:rFonts w:eastAsia="Arial" w:cs="Arial"/>
                <w:szCs w:val="24"/>
              </w:rPr>
            </w:pPr>
            <w:r w:rsidRPr="004859D1">
              <w:rPr>
                <w:rFonts w:cs="Arial"/>
                <w:szCs w:val="24"/>
              </w:rPr>
              <w:t>Bus Stop Compliance</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cs="Arial"/>
                <w:b/>
                <w:szCs w:val="24"/>
              </w:rPr>
            </w:pPr>
            <w:r w:rsidRPr="004859D1">
              <w:rPr>
                <w:rFonts w:eastAsia="Calibri" w:cs="Arial"/>
                <w:szCs w:val="24"/>
              </w:rPr>
              <w:t>The Equality Act places a statutory responsibility on the county council to improve the accessibility of public transport in terms of bus stops, this is a programme of works to ensure our bus stops meet that responsibility.</w:t>
            </w:r>
          </w:p>
        </w:tc>
      </w:tr>
      <w:tr w:rsidR="00350E4C" w:rsidRPr="004859D1" w:rsidTr="0035481F">
        <w:trPr>
          <w:trHeight w:val="65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E4C" w:rsidRPr="004859D1" w:rsidRDefault="00350E4C" w:rsidP="0035481F">
            <w:pPr>
              <w:ind w:right="54"/>
              <w:jc w:val="center"/>
              <w:rPr>
                <w:rFonts w:eastAsia="Arial" w:cs="Arial"/>
                <w:szCs w:val="24"/>
              </w:rPr>
            </w:pPr>
            <w:r w:rsidRPr="004859D1">
              <w:rPr>
                <w:rFonts w:cs="Arial"/>
                <w:szCs w:val="24"/>
              </w:rPr>
              <w:lastRenderedPageBreak/>
              <w:t>Pipeline Project Development</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350E4C" w:rsidRPr="004859D1" w:rsidRDefault="00350E4C" w:rsidP="0035481F">
            <w:pPr>
              <w:rPr>
                <w:rFonts w:cs="Arial"/>
                <w:b/>
                <w:szCs w:val="24"/>
              </w:rPr>
            </w:pPr>
            <w:r w:rsidRPr="004859D1">
              <w:rPr>
                <w:rFonts w:eastAsia="Calibri" w:cs="Arial"/>
                <w:szCs w:val="24"/>
              </w:rPr>
              <w:t>This allocation will allow the development of pipeline projects in order to take advantage of future government funding opportunities.</w:t>
            </w:r>
          </w:p>
        </w:tc>
      </w:tr>
    </w:tbl>
    <w:p w:rsidR="00350E4C" w:rsidRPr="004859D1" w:rsidRDefault="00350E4C" w:rsidP="00350E4C">
      <w:pPr>
        <w:rPr>
          <w:rFonts w:cs="Arial"/>
          <w:szCs w:val="24"/>
        </w:rPr>
      </w:pPr>
    </w:p>
    <w:p w:rsidR="001C3042" w:rsidRDefault="001C3042"/>
    <w:sectPr w:rsidR="001C3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32CB2"/>
    <w:multiLevelType w:val="hybridMultilevel"/>
    <w:tmpl w:val="CDBAF5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4C"/>
    <w:rsid w:val="001C3042"/>
    <w:rsid w:val="00350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84DE9-346D-4B51-B028-8B03B6B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4C"/>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E4C"/>
    <w:pPr>
      <w:spacing w:after="265" w:line="250" w:lineRule="auto"/>
      <w:ind w:left="720" w:hanging="10"/>
      <w:contextualSpacing/>
      <w:jc w:val="both"/>
    </w:pPr>
    <w:rPr>
      <w:rFonts w:eastAsia="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Dave</dc:creator>
  <cp:keywords/>
  <dc:description/>
  <cp:lastModifiedBy>Gorman, Dave</cp:lastModifiedBy>
  <cp:revision>1</cp:revision>
  <dcterms:created xsi:type="dcterms:W3CDTF">2019-02-22T08:35:00Z</dcterms:created>
  <dcterms:modified xsi:type="dcterms:W3CDTF">2019-02-22T08:37:00Z</dcterms:modified>
</cp:coreProperties>
</file>